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C5E" w:rsidRDefault="006A3C5E" w:rsidP="00C32C60">
      <w:pPr>
        <w:spacing w:line="480" w:lineRule="auto"/>
      </w:pPr>
      <w:r>
        <w:t>Name.</w:t>
      </w:r>
    </w:p>
    <w:p w:rsidR="006A3C5E" w:rsidRDefault="006A3C5E" w:rsidP="00C32C60">
      <w:pPr>
        <w:spacing w:line="480" w:lineRule="auto"/>
      </w:pPr>
      <w:r>
        <w:t>Tutor.</w:t>
      </w:r>
    </w:p>
    <w:p w:rsidR="006A3C5E" w:rsidRDefault="006A3C5E" w:rsidP="00C32C60">
      <w:pPr>
        <w:spacing w:line="480" w:lineRule="auto"/>
      </w:pPr>
      <w:r>
        <w:t>Course.</w:t>
      </w:r>
    </w:p>
    <w:p w:rsidR="006A3C5E" w:rsidRDefault="006A3C5E" w:rsidP="00C32C60">
      <w:pPr>
        <w:spacing w:line="480" w:lineRule="auto"/>
      </w:pPr>
      <w:r>
        <w:t>Date</w:t>
      </w:r>
      <w:r w:rsidR="009C1DEE">
        <w:t>.</w:t>
      </w:r>
    </w:p>
    <w:p w:rsidR="006A3C5E" w:rsidRDefault="00656A3C" w:rsidP="00656A3C">
      <w:pPr>
        <w:tabs>
          <w:tab w:val="center" w:pos="4680"/>
          <w:tab w:val="left" w:pos="7815"/>
        </w:tabs>
        <w:spacing w:line="480" w:lineRule="auto"/>
      </w:pPr>
      <w:r>
        <w:tab/>
      </w:r>
      <w:r w:rsidR="00925973">
        <w:t>The Year of the Flood: Cultural Ethics</w:t>
      </w:r>
      <w:r>
        <w:tab/>
      </w:r>
    </w:p>
    <w:p w:rsidR="00CF4EDF" w:rsidRDefault="00CF4EDF" w:rsidP="00CF4EDF">
      <w:pPr>
        <w:spacing w:line="480" w:lineRule="auto"/>
        <w:ind w:firstLine="720"/>
      </w:pPr>
      <w:r>
        <w:t xml:space="preserve">The severe environmental degradation has become a menace to the human race. Usually, the natural environment provides food, water, and other resources that the human race requires to build their civilization. Environmental degradation denotes to a decline in the quality of the environment; largely resulting from human activities. The contemporary human activities make the future completely hard to imagine. In her book, "The Year of the Flood," Margaret Atwood depicts a clear picture of a pre-flood world and people fighting for survival. The society seems to be completely fractured with the fortunate people living in high-security compounds and the majority of the population living in slums (Atwood 3). According to her, a degraded environment leads to climate change but also leads to a change of entirely anything. There are a plethora of human activities that result in a degraded environment. However, this essay focuses on the effects of cultural conceptions on the environment. The Year of the Flood by Margaret Atwood proves that people should embrace environmentalism by changing their cultural conceptions to mitigate climate change since they entirely depend on the natural environment. </w:t>
      </w:r>
    </w:p>
    <w:p w:rsidR="00CF4EDF" w:rsidRDefault="00CF4EDF" w:rsidP="00CF4EDF">
      <w:pPr>
        <w:spacing w:line="480" w:lineRule="auto"/>
        <w:ind w:firstLine="720"/>
      </w:pPr>
      <w:r>
        <w:t xml:space="preserve">Firstly, people should start following sects groups which are beneficial to the environment. Usually, when a feeling of despair and loneliness occupies the brain of an individual, joining a sect group in such of consolation is inevitable. Sect groups provide a false feeling of comfort. In the book, the author presents different gangs and religious sects who have </w:t>
      </w:r>
      <w:r>
        <w:lastRenderedPageBreak/>
        <w:t xml:space="preserve">marked out their territories. In a society braced by ecological destructions, Ren and Toby are stranded in fighting for survival. However, due to difficulties in their life, Toby and Ren decide to join a sect group known as God's Gardeners (Atwood 3). The sect group is founded on vegetarianism and hardcore environmentalism. The members of God's Gardeners are utterly upset by how the natural world has looked degraded. The scientists have created wild plants, germs, and hybrid animals. The author presents the world occupied by different forms of animals such as the liobams and luminous green rabbits (Atwood 5). However, Atwood presents the God's Gardeners by frequently highlighting their preposterous standpoint; as a result, it is very hard for the reader to focus on them when things on the natural world begin going awry. Thus, God's gardeners cannot be considered as dangerous sect group; instead, its firm stance is environmentalism and vegetarianism (Atwood 21). At the year of the flood, the majority of God's Gardeners survives, unlike other people who fail to embrace environmentalism. </w:t>
      </w:r>
    </w:p>
    <w:p w:rsidR="00CF4EDF" w:rsidRDefault="00CF4EDF" w:rsidP="00CF4EDF">
      <w:pPr>
        <w:spacing w:line="480" w:lineRule="auto"/>
        <w:ind w:firstLine="720"/>
      </w:pPr>
      <w:r>
        <w:t>Secondly, people should capitalize on the freedom of choice to achieve environmental sustainability. Despite the people' optimistic nature that the future will not be bad with the majority believing it will actually turn out to be better, Atwood presents a scenario where the future world is on corporation's control. According to the author's scenario, people no longer have the freedom of choice. The main goal of humans is survival at any cost where people have learned not to ask any questions or care about others. For instance, the book starts in a year of the flood where two people are fighting for survival (Atwood 1). The author implies that if people had initially utilized the freedom of choice to maintain the environment, then the world would not be experiencing frequent floods and people would not be fighting for the scarce resources left. Therefore, people should use the freedom of choice to better their surroundings.</w:t>
      </w:r>
    </w:p>
    <w:p w:rsidR="00CF4EDF" w:rsidRDefault="00CF4EDF" w:rsidP="00CF4EDF">
      <w:pPr>
        <w:spacing w:line="480" w:lineRule="auto"/>
        <w:ind w:firstLine="720"/>
      </w:pPr>
      <w:r>
        <w:lastRenderedPageBreak/>
        <w:t>Thirdly, the author shows the necessity of responsible construction of boundaries. God's Gardeners strict boundaries as portrayed by the author, present the dire need of the human race to be considerate when choosing technology (Atwood 27). Technology is an important driving force of the world, but people must avoid using technology wrongly if they are to avoid a future that is similar to that of the year of the flood.</w:t>
      </w:r>
    </w:p>
    <w:p w:rsidR="00CF4EDF" w:rsidRDefault="00CF4EDF" w:rsidP="00CF4EDF">
      <w:pPr>
        <w:spacing w:line="480" w:lineRule="auto"/>
        <w:ind w:firstLine="720"/>
      </w:pPr>
      <w:r>
        <w:t>Summarily, Margaret Atwood's novel depicts a future world of the flood where a virulent pandemic outbreak wipes the human race very fast leaving few survivors. Ecological destructions and resource shortages has become a menace to the human race. Religious cults and extremists have demarcated their boundaries. For instance, few people who have embraced environmentalism such as God's Gardeners like Ren and Toby are the survivors of the year of the flood (Atwood 45). Moreover, corporations' control has undermined traditional ethics, and everything in the world is all about survival. However, by God's Gardeners embracing ecosystem ethics and having a preposterous stance on environmentalism, the majority of them survived the year of the flood. Therefore, people should embrace environmentalism by changing their cultural conceptions to mitigate climate change since they entirely depend on the natural environment.</w:t>
      </w:r>
    </w:p>
    <w:p w:rsidR="00CF4EDF" w:rsidRDefault="00CF4EDF" w:rsidP="00CF4EDF">
      <w:pPr>
        <w:spacing w:line="480" w:lineRule="auto"/>
      </w:pPr>
    </w:p>
    <w:p w:rsidR="00CF4EDF" w:rsidRDefault="00CF4EDF" w:rsidP="00CF4EDF">
      <w:pPr>
        <w:spacing w:line="480" w:lineRule="auto"/>
      </w:pPr>
    </w:p>
    <w:p w:rsidR="00CF4EDF" w:rsidRDefault="00CF4EDF" w:rsidP="00CF4EDF">
      <w:pPr>
        <w:spacing w:line="480" w:lineRule="auto"/>
      </w:pPr>
    </w:p>
    <w:p w:rsidR="00CF4EDF" w:rsidRDefault="00CF4EDF" w:rsidP="00CF4EDF">
      <w:pPr>
        <w:spacing w:line="480" w:lineRule="auto"/>
      </w:pPr>
    </w:p>
    <w:p w:rsidR="00CF4EDF" w:rsidRDefault="00CF4EDF" w:rsidP="00CF4EDF">
      <w:pPr>
        <w:spacing w:line="480" w:lineRule="auto"/>
      </w:pPr>
    </w:p>
    <w:p w:rsidR="00CF4EDF" w:rsidRDefault="00CF4EDF" w:rsidP="00CF4EDF">
      <w:pPr>
        <w:spacing w:line="480" w:lineRule="auto"/>
      </w:pPr>
    </w:p>
    <w:p w:rsidR="00CF4EDF" w:rsidRDefault="00CF4EDF" w:rsidP="00CF4EDF">
      <w:pPr>
        <w:spacing w:line="480" w:lineRule="auto"/>
        <w:jc w:val="center"/>
      </w:pPr>
      <w:r>
        <w:lastRenderedPageBreak/>
        <w:t>Work Cited</w:t>
      </w:r>
    </w:p>
    <w:p w:rsidR="00C32C60" w:rsidRPr="006A3C5E" w:rsidRDefault="00CF4EDF" w:rsidP="00CF4EDF">
      <w:pPr>
        <w:spacing w:line="480" w:lineRule="auto"/>
        <w:ind w:left="720" w:hanging="720"/>
      </w:pPr>
      <w:r>
        <w:t xml:space="preserve">Margaret, A., (2009). </w:t>
      </w:r>
      <w:r w:rsidRPr="00CF4EDF">
        <w:rPr>
          <w:i/>
        </w:rPr>
        <w:t>The Year of the Flood.</w:t>
      </w:r>
      <w:r>
        <w:t xml:space="preserve"> Toronto: McClelland &amp; Stewart; Bloomsbury Publishing.</w:t>
      </w:r>
    </w:p>
    <w:p w:rsidR="00103F7C" w:rsidRPr="006A3C5E" w:rsidRDefault="00103F7C" w:rsidP="00CF4EDF">
      <w:pPr>
        <w:ind w:left="720" w:hanging="720"/>
      </w:pPr>
    </w:p>
    <w:sectPr w:rsidR="00103F7C" w:rsidRPr="006A3C5E" w:rsidSect="00C7146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CA1" w:rsidRDefault="00875CA1" w:rsidP="00C5398D">
      <w:pPr>
        <w:spacing w:after="0" w:line="240" w:lineRule="auto"/>
      </w:pPr>
      <w:r>
        <w:separator/>
      </w:r>
    </w:p>
  </w:endnote>
  <w:endnote w:type="continuationSeparator" w:id="1">
    <w:p w:rsidR="00875CA1" w:rsidRDefault="00875CA1" w:rsidP="00C53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CA1" w:rsidRDefault="00875CA1" w:rsidP="00C5398D">
      <w:pPr>
        <w:spacing w:after="0" w:line="240" w:lineRule="auto"/>
      </w:pPr>
      <w:r>
        <w:separator/>
      </w:r>
    </w:p>
  </w:footnote>
  <w:footnote w:type="continuationSeparator" w:id="1">
    <w:p w:rsidR="00875CA1" w:rsidRDefault="00875CA1" w:rsidP="00C53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A5F" w:rsidRDefault="00894A5F">
    <w:pPr>
      <w:pStyle w:val="Header"/>
      <w:jc w:val="right"/>
    </w:pPr>
    <w:r>
      <w:t xml:space="preserve">Surname </w:t>
    </w:r>
    <w:sdt>
      <w:sdtPr>
        <w:id w:val="12561657"/>
        <w:docPartObj>
          <w:docPartGallery w:val="Page Numbers (Top of Page)"/>
          <w:docPartUnique/>
        </w:docPartObj>
      </w:sdtPr>
      <w:sdtContent>
        <w:fldSimple w:instr=" PAGE   \* MERGEFORMAT ">
          <w:r w:rsidR="00CF4EDF">
            <w:rPr>
              <w:noProof/>
            </w:rPr>
            <w:t>2</w:t>
          </w:r>
        </w:fldSimple>
      </w:sdtContent>
    </w:sdt>
  </w:p>
  <w:p w:rsidR="00894A5F" w:rsidRDefault="00894A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27DA"/>
    <w:rsid w:val="000657F0"/>
    <w:rsid w:val="00103F7C"/>
    <w:rsid w:val="0011543F"/>
    <w:rsid w:val="001361B2"/>
    <w:rsid w:val="00144A45"/>
    <w:rsid w:val="0018312D"/>
    <w:rsid w:val="002E52AA"/>
    <w:rsid w:val="0033464B"/>
    <w:rsid w:val="003E677B"/>
    <w:rsid w:val="00500D9E"/>
    <w:rsid w:val="005D3F5B"/>
    <w:rsid w:val="006360F1"/>
    <w:rsid w:val="00656A3C"/>
    <w:rsid w:val="00676AFD"/>
    <w:rsid w:val="006A3C5E"/>
    <w:rsid w:val="006E4329"/>
    <w:rsid w:val="00784EF3"/>
    <w:rsid w:val="007D246C"/>
    <w:rsid w:val="007F7D6C"/>
    <w:rsid w:val="00875CA1"/>
    <w:rsid w:val="00894A5F"/>
    <w:rsid w:val="0092245A"/>
    <w:rsid w:val="00925973"/>
    <w:rsid w:val="009A27DA"/>
    <w:rsid w:val="009C1DEE"/>
    <w:rsid w:val="009F1292"/>
    <w:rsid w:val="00A939A3"/>
    <w:rsid w:val="00B37060"/>
    <w:rsid w:val="00C32B75"/>
    <w:rsid w:val="00C32C60"/>
    <w:rsid w:val="00C5398D"/>
    <w:rsid w:val="00C71466"/>
    <w:rsid w:val="00CA23D2"/>
    <w:rsid w:val="00CF4EDF"/>
    <w:rsid w:val="00D16150"/>
    <w:rsid w:val="00D622A4"/>
    <w:rsid w:val="00D84D83"/>
    <w:rsid w:val="00DB4FFC"/>
    <w:rsid w:val="00DC2176"/>
    <w:rsid w:val="00F94749"/>
    <w:rsid w:val="00FC7E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98D"/>
  </w:style>
  <w:style w:type="paragraph" w:styleId="Footer">
    <w:name w:val="footer"/>
    <w:basedOn w:val="Normal"/>
    <w:link w:val="FooterChar"/>
    <w:uiPriority w:val="99"/>
    <w:semiHidden/>
    <w:unhideWhenUsed/>
    <w:rsid w:val="00C539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5398D"/>
  </w:style>
  <w:style w:type="paragraph" w:styleId="Bibliography">
    <w:name w:val="Bibliography"/>
    <w:basedOn w:val="Normal"/>
    <w:next w:val="Normal"/>
    <w:uiPriority w:val="37"/>
    <w:unhideWhenUsed/>
    <w:rsid w:val="00C32C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Mar09</b:Tag>
    <b:SourceType>Book</b:SourceType>
    <b:Guid>{38613E7C-96FB-4757-B305-064CB0060B70}</b:Guid>
    <b:LCID>0</b:LCID>
    <b:Author>
      <b:Author>
        <b:NameList>
          <b:Person>
            <b:Last>Margaret</b:Last>
            <b:First>Atwood.</b:First>
          </b:Person>
        </b:NameList>
      </b:Author>
    </b:Author>
    <b:Title>The Year of the Flood</b:Title>
    <b:Year>2009</b:Year>
    <b:City>Toronto</b:City>
    <b:Publisher>McClelland &amp; Stewart; Bloomsbury Publishing</b:Publisher>
    <b:RefOrder>1</b:RefOrder>
  </b:Source>
</b:Sources>
</file>

<file path=customXml/itemProps1.xml><?xml version="1.0" encoding="utf-8"?>
<ds:datastoreItem xmlns:ds="http://schemas.openxmlformats.org/officeDocument/2006/customXml" ds:itemID="{67A58818-8AD8-4989-800C-96E447AC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3</cp:revision>
  <dcterms:created xsi:type="dcterms:W3CDTF">2019-06-05T20:35:00Z</dcterms:created>
  <dcterms:modified xsi:type="dcterms:W3CDTF">2019-06-05T20:39:00Z</dcterms:modified>
</cp:coreProperties>
</file>